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2B" w:rsidRPr="00582707" w:rsidRDefault="004B5B6F" w:rsidP="0056562B">
      <w:pPr>
        <w:jc w:val="right"/>
        <w:rPr>
          <w:rFonts w:cstheme="minorHAnsi"/>
        </w:rPr>
      </w:pPr>
      <w:r w:rsidRPr="00582707">
        <w:rPr>
          <w:rFonts w:cstheme="minorHAnsi"/>
        </w:rPr>
        <w:t>Brochów, 17.08.</w:t>
      </w:r>
      <w:r w:rsidR="00600487" w:rsidRPr="00582707">
        <w:rPr>
          <w:rFonts w:cstheme="minorHAnsi"/>
        </w:rPr>
        <w:t>2023</w:t>
      </w:r>
    </w:p>
    <w:p w:rsidR="00600487" w:rsidRPr="00582707" w:rsidRDefault="00600487" w:rsidP="00600487">
      <w:pPr>
        <w:jc w:val="right"/>
        <w:rPr>
          <w:rFonts w:cstheme="minorHAnsi"/>
        </w:rPr>
      </w:pPr>
    </w:p>
    <w:p w:rsidR="00600487" w:rsidRPr="00582707" w:rsidRDefault="00600487" w:rsidP="00600487">
      <w:pPr>
        <w:spacing w:after="0"/>
        <w:jc w:val="right"/>
        <w:rPr>
          <w:rFonts w:cstheme="minorHAnsi"/>
        </w:rPr>
      </w:pPr>
    </w:p>
    <w:p w:rsidR="00600487" w:rsidRPr="00582707" w:rsidRDefault="00600487" w:rsidP="004B5B6F">
      <w:pPr>
        <w:spacing w:after="0"/>
        <w:ind w:left="3398" w:firstLine="850"/>
        <w:jc w:val="center"/>
        <w:rPr>
          <w:rFonts w:cstheme="minorHAnsi"/>
          <w:b/>
        </w:rPr>
      </w:pPr>
      <w:r w:rsidRPr="00582707">
        <w:rPr>
          <w:rFonts w:cstheme="minorHAnsi"/>
          <w:b/>
        </w:rPr>
        <w:t>Wykonawcy zainteresowani</w:t>
      </w:r>
    </w:p>
    <w:p w:rsidR="00600487" w:rsidRPr="00582707" w:rsidRDefault="00600487" w:rsidP="004B5B6F">
      <w:pPr>
        <w:spacing w:after="0"/>
        <w:ind w:left="2690" w:firstLine="571"/>
        <w:jc w:val="center"/>
        <w:rPr>
          <w:rFonts w:cstheme="minorHAnsi"/>
          <w:b/>
        </w:rPr>
      </w:pPr>
      <w:r w:rsidRPr="00582707">
        <w:rPr>
          <w:rFonts w:cstheme="minorHAnsi"/>
          <w:b/>
        </w:rPr>
        <w:t>postępowaniem</w:t>
      </w:r>
    </w:p>
    <w:p w:rsidR="0056562B" w:rsidRPr="00582707" w:rsidRDefault="0056562B" w:rsidP="004B5B6F">
      <w:pPr>
        <w:jc w:val="center"/>
        <w:rPr>
          <w:rFonts w:cstheme="minorHAnsi"/>
        </w:rPr>
      </w:pPr>
      <w:bookmarkStart w:id="0" w:name="_GoBack"/>
      <w:bookmarkEnd w:id="0"/>
    </w:p>
    <w:p w:rsidR="00B61C33" w:rsidRPr="00582707" w:rsidRDefault="00B61C33" w:rsidP="004B5B6F">
      <w:pPr>
        <w:jc w:val="center"/>
        <w:rPr>
          <w:rFonts w:cstheme="minorHAnsi"/>
          <w:b/>
          <w:sz w:val="28"/>
          <w:szCs w:val="28"/>
        </w:rPr>
      </w:pPr>
      <w:r w:rsidRPr="00582707">
        <w:rPr>
          <w:rFonts w:cstheme="minorHAnsi"/>
          <w:b/>
          <w:sz w:val="28"/>
          <w:szCs w:val="28"/>
        </w:rPr>
        <w:t xml:space="preserve">Informacja o zmianie treści SWZ </w:t>
      </w:r>
    </w:p>
    <w:p w:rsidR="004B5B6F" w:rsidRPr="00582707" w:rsidRDefault="004B5B6F" w:rsidP="004B5B6F">
      <w:pPr>
        <w:jc w:val="both"/>
        <w:rPr>
          <w:rFonts w:cstheme="minorHAnsi"/>
          <w:b/>
        </w:rPr>
      </w:pPr>
    </w:p>
    <w:p w:rsidR="00B61C33" w:rsidRPr="00582707" w:rsidRDefault="00B61C33" w:rsidP="00156F35">
      <w:pPr>
        <w:spacing w:after="0"/>
        <w:jc w:val="both"/>
        <w:rPr>
          <w:rFonts w:cstheme="minorHAnsi"/>
        </w:rPr>
      </w:pPr>
      <w:r w:rsidRPr="00582707">
        <w:rPr>
          <w:rFonts w:cstheme="minorHAnsi"/>
        </w:rPr>
        <w:t>Dotyczy: postępowania o udzielenie zamówienia publicznego prowadzonego w trybie podstawowym,</w:t>
      </w:r>
    </w:p>
    <w:p w:rsidR="004B5B6F" w:rsidRPr="00582707" w:rsidRDefault="00B61C33" w:rsidP="00156F35">
      <w:pPr>
        <w:pStyle w:val="NormalnyWeb"/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82707">
        <w:rPr>
          <w:rFonts w:asciiTheme="minorHAnsi" w:hAnsiTheme="minorHAnsi" w:cstheme="minorHAnsi"/>
          <w:sz w:val="22"/>
          <w:szCs w:val="22"/>
        </w:rPr>
        <w:t xml:space="preserve">zgodnie z art. 275 pkt 1 ustawy </w:t>
      </w:r>
      <w:proofErr w:type="spellStart"/>
      <w:r w:rsidRPr="005827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82707">
        <w:rPr>
          <w:rFonts w:asciiTheme="minorHAnsi" w:hAnsiTheme="minorHAnsi" w:cstheme="minorHAnsi"/>
          <w:sz w:val="22"/>
          <w:szCs w:val="22"/>
        </w:rPr>
        <w:t xml:space="preserve"> na zadanie: </w:t>
      </w:r>
      <w:r w:rsidR="004B5B6F" w:rsidRPr="005827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„Budowa budynku wielofunkcyjnego pod nazwą Brochowskie Centrum Rewitalizacji Społecznej”</w:t>
      </w:r>
    </w:p>
    <w:p w:rsidR="00156F35" w:rsidRPr="00582707" w:rsidRDefault="00156F35" w:rsidP="00156F35">
      <w:pPr>
        <w:pStyle w:val="NormalnyWeb"/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56F35" w:rsidRPr="00582707" w:rsidRDefault="00B61C33" w:rsidP="009D799D">
      <w:pPr>
        <w:jc w:val="both"/>
        <w:rPr>
          <w:rFonts w:cstheme="minorHAnsi"/>
        </w:rPr>
      </w:pPr>
      <w:r w:rsidRPr="00582707">
        <w:rPr>
          <w:rFonts w:cstheme="minorHAnsi"/>
        </w:rPr>
        <w:t xml:space="preserve">Zamawiający działając na podstawie art. 286 ust. 1 </w:t>
      </w:r>
      <w:r w:rsidR="00752A84" w:rsidRPr="00582707">
        <w:rPr>
          <w:rFonts w:cstheme="minorHAnsi"/>
        </w:rPr>
        <w:t xml:space="preserve">ustawy </w:t>
      </w:r>
      <w:r w:rsidRPr="00582707">
        <w:rPr>
          <w:rFonts w:cstheme="minorHAnsi"/>
        </w:rPr>
        <w:t>z dnia 11 września 2019 r. Prawo zamówień publicznych (</w:t>
      </w:r>
      <w:proofErr w:type="spellStart"/>
      <w:r w:rsidR="00752A84" w:rsidRPr="00582707">
        <w:rPr>
          <w:rFonts w:cstheme="minorHAnsi"/>
        </w:rPr>
        <w:t>t.j</w:t>
      </w:r>
      <w:proofErr w:type="spellEnd"/>
      <w:r w:rsidR="00752A84" w:rsidRPr="00582707">
        <w:rPr>
          <w:rFonts w:cstheme="minorHAnsi"/>
        </w:rPr>
        <w:t xml:space="preserve">. Dz. U. z 2022 r. poz. 1710 ze zm.) </w:t>
      </w:r>
      <w:r w:rsidRPr="00582707">
        <w:rPr>
          <w:rFonts w:cstheme="minorHAnsi"/>
        </w:rPr>
        <w:t>informuje iż w ww. postępow</w:t>
      </w:r>
      <w:r w:rsidR="009D799D">
        <w:rPr>
          <w:rFonts w:cstheme="minorHAnsi"/>
        </w:rPr>
        <w:t>aniu dokonuje zmiany treści SWZ.</w:t>
      </w:r>
    </w:p>
    <w:p w:rsidR="00770B14" w:rsidRPr="00582707" w:rsidRDefault="00B61C33" w:rsidP="004B5B6F">
      <w:pPr>
        <w:jc w:val="both"/>
        <w:rPr>
          <w:rFonts w:cstheme="minorHAnsi"/>
        </w:rPr>
      </w:pPr>
      <w:r w:rsidRPr="00582707">
        <w:rPr>
          <w:rFonts w:cstheme="minorHAnsi"/>
        </w:rPr>
        <w:t xml:space="preserve">W związku z powyższym Rozdział XV </w:t>
      </w:r>
      <w:r w:rsidR="00F134BA" w:rsidRPr="00582707">
        <w:rPr>
          <w:rFonts w:cstheme="minorHAnsi"/>
        </w:rPr>
        <w:t xml:space="preserve">pkt </w:t>
      </w:r>
      <w:r w:rsidR="00582707" w:rsidRPr="00582707">
        <w:rPr>
          <w:rFonts w:cstheme="minorHAnsi"/>
        </w:rPr>
        <w:t>1.</w:t>
      </w:r>
      <w:r w:rsidR="00F134BA" w:rsidRPr="00582707">
        <w:rPr>
          <w:rFonts w:cstheme="minorHAnsi"/>
        </w:rPr>
        <w:t xml:space="preserve">2 </w:t>
      </w:r>
      <w:r w:rsidRPr="00582707">
        <w:rPr>
          <w:rFonts w:cstheme="minorHAnsi"/>
        </w:rPr>
        <w:t>Specyfikacji Warunków Zamówienia otrzymują brzmienie:</w:t>
      </w:r>
    </w:p>
    <w:p w:rsidR="004B4139" w:rsidRPr="004B4139" w:rsidRDefault="004B4139" w:rsidP="004B4139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:rsidR="00582707" w:rsidRPr="00582707" w:rsidRDefault="00582707" w:rsidP="00582707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rFonts w:asciiTheme="minorHAnsi" w:hAnsiTheme="minorHAnsi" w:cstheme="minorHAnsi"/>
          <w:sz w:val="22"/>
          <w:szCs w:val="22"/>
        </w:rPr>
      </w:pPr>
      <w:r w:rsidRPr="00582707">
        <w:rPr>
          <w:rFonts w:asciiTheme="minorHAnsi" w:hAnsiTheme="minorHAnsi" w:cstheme="minorHAnsi"/>
          <w:sz w:val="22"/>
          <w:szCs w:val="22"/>
        </w:rPr>
        <w:t xml:space="preserve">Zamawiający dokona oceny ofert w zakresie kryterium </w:t>
      </w:r>
      <w:r w:rsidRPr="00582707">
        <w:rPr>
          <w:rFonts w:asciiTheme="minorHAnsi" w:hAnsiTheme="minorHAnsi" w:cstheme="minorHAnsi"/>
          <w:b/>
          <w:sz w:val="22"/>
          <w:szCs w:val="22"/>
        </w:rPr>
        <w:t>„Gwarancja”</w:t>
      </w:r>
      <w:r w:rsidRPr="00582707">
        <w:rPr>
          <w:rFonts w:asciiTheme="minorHAnsi" w:hAnsiTheme="minorHAnsi" w:cstheme="minorHAnsi"/>
          <w:sz w:val="22"/>
          <w:szCs w:val="22"/>
        </w:rPr>
        <w:t xml:space="preserve"> na następujących zasadach:</w:t>
      </w:r>
    </w:p>
    <w:p w:rsidR="00582707" w:rsidRPr="00582707" w:rsidRDefault="00582707" w:rsidP="00582707">
      <w:pPr>
        <w:pStyle w:val="Akapitzlist"/>
        <w:tabs>
          <w:tab w:val="left" w:pos="2500"/>
          <w:tab w:val="left" w:pos="2694"/>
        </w:tabs>
        <w:spacing w:after="240" w:line="242" w:lineRule="auto"/>
        <w:ind w:left="426" w:right="20"/>
        <w:jc w:val="both"/>
        <w:rPr>
          <w:rFonts w:asciiTheme="minorHAnsi" w:hAnsiTheme="minorHAnsi" w:cstheme="minorHAnsi"/>
          <w:sz w:val="22"/>
          <w:szCs w:val="22"/>
        </w:rPr>
      </w:pPr>
      <w:r w:rsidRPr="00582707">
        <w:rPr>
          <w:rFonts w:asciiTheme="minorHAnsi" w:hAnsiTheme="minorHAnsi" w:cstheme="minorHAnsi"/>
          <w:sz w:val="22"/>
          <w:szCs w:val="22"/>
        </w:rPr>
        <w:t>Podstawą oceny ofert w zakresie niniejszego kryterium będzie wyrażony w miesiącach okres gwarancji zaproponowany przez Wykonawcę w Formularzu ofertowym. Wykonawca może wskazać okres gwarancji równy 60 lub 72 miesiące.</w:t>
      </w:r>
    </w:p>
    <w:p w:rsidR="00582707" w:rsidRPr="00582707" w:rsidRDefault="00582707" w:rsidP="00582707">
      <w:pPr>
        <w:tabs>
          <w:tab w:val="left" w:pos="1843"/>
        </w:tabs>
        <w:ind w:left="567" w:right="20" w:hanging="141"/>
        <w:jc w:val="both"/>
        <w:rPr>
          <w:rFonts w:cstheme="minorHAnsi"/>
        </w:rPr>
      </w:pPr>
      <w:r w:rsidRPr="00582707">
        <w:rPr>
          <w:rFonts w:cstheme="minorHAnsi"/>
        </w:rPr>
        <w:t xml:space="preserve">a) okres gwarancji zaproponowany przez Wykonawcę </w:t>
      </w:r>
      <w:r w:rsidRPr="00582707">
        <w:rPr>
          <w:rFonts w:cstheme="minorHAnsi"/>
          <w:b/>
        </w:rPr>
        <w:t xml:space="preserve">nie może być krótszy niż 60 miesięcy </w:t>
      </w:r>
      <w:r w:rsidRPr="00582707">
        <w:rPr>
          <w:rFonts w:cstheme="minorHAnsi"/>
        </w:rPr>
        <w:t>pod rygorem odrzucenia oferty Wykonawcy jako oferty niezgodnej z warunkami zamówienia.</w:t>
      </w:r>
    </w:p>
    <w:p w:rsidR="00156F35" w:rsidRDefault="00582707" w:rsidP="00582707">
      <w:pPr>
        <w:tabs>
          <w:tab w:val="left" w:pos="1843"/>
        </w:tabs>
        <w:ind w:left="567" w:right="20" w:hanging="141"/>
        <w:jc w:val="both"/>
        <w:rPr>
          <w:rFonts w:cstheme="minorHAnsi"/>
        </w:rPr>
      </w:pPr>
      <w:r w:rsidRPr="00582707">
        <w:rPr>
          <w:rFonts w:cstheme="minorHAnsi"/>
        </w:rPr>
        <w:t>b) Zamawiający przyzna punkty za wydłużenie okresu gwarancji ponad wymagany minimalny okres (60</w:t>
      </w:r>
      <w:r>
        <w:rPr>
          <w:rFonts w:cstheme="minorHAnsi"/>
        </w:rPr>
        <w:t xml:space="preserve"> miesięcy)</w:t>
      </w:r>
    </w:p>
    <w:p w:rsidR="00582707" w:rsidRDefault="00582707" w:rsidP="004B4139">
      <w:pPr>
        <w:tabs>
          <w:tab w:val="left" w:pos="1843"/>
        </w:tabs>
        <w:ind w:right="20"/>
        <w:jc w:val="both"/>
        <w:rPr>
          <w:rFonts w:cstheme="minorHAnsi"/>
        </w:rPr>
      </w:pPr>
    </w:p>
    <w:p w:rsidR="00582707" w:rsidRPr="00582707" w:rsidRDefault="00582707" w:rsidP="00582707">
      <w:pPr>
        <w:tabs>
          <w:tab w:val="left" w:pos="1843"/>
        </w:tabs>
        <w:spacing w:after="0"/>
        <w:ind w:left="142" w:right="20"/>
        <w:jc w:val="both"/>
        <w:rPr>
          <w:rFonts w:cstheme="minorHAnsi"/>
        </w:rPr>
      </w:pPr>
      <w:r w:rsidRPr="00582707">
        <w:rPr>
          <w:rFonts w:cstheme="minorHAnsi"/>
        </w:rPr>
        <w:t>Powyższe brzmienie SWZ jest obowiązujące od dnia wprowadzenia niniejszej zmiany.</w:t>
      </w:r>
    </w:p>
    <w:p w:rsidR="00582707" w:rsidRDefault="00582707" w:rsidP="00582707">
      <w:pPr>
        <w:tabs>
          <w:tab w:val="left" w:pos="1843"/>
        </w:tabs>
        <w:spacing w:after="0"/>
        <w:ind w:left="284" w:right="20" w:hanging="141"/>
        <w:jc w:val="both"/>
        <w:rPr>
          <w:rFonts w:cstheme="minorHAnsi"/>
        </w:rPr>
      </w:pPr>
      <w:r w:rsidRPr="00582707">
        <w:rPr>
          <w:rFonts w:cstheme="minorHAnsi"/>
        </w:rPr>
        <w:t>Pozostałe zapisy SWZ pozostają bez zmian</w:t>
      </w:r>
      <w:r w:rsidR="000B7BB2">
        <w:rPr>
          <w:rFonts w:cstheme="minorHAnsi"/>
        </w:rPr>
        <w:t>.</w:t>
      </w:r>
    </w:p>
    <w:p w:rsidR="000B7BB2" w:rsidRPr="000B7BB2" w:rsidRDefault="000B7BB2" w:rsidP="000B7BB2">
      <w:pPr>
        <w:tabs>
          <w:tab w:val="left" w:pos="1843"/>
        </w:tabs>
        <w:spacing w:after="0"/>
        <w:ind w:left="567" w:right="20" w:hanging="425"/>
        <w:jc w:val="both"/>
        <w:rPr>
          <w:rFonts w:cstheme="minorHAnsi"/>
        </w:rPr>
      </w:pPr>
      <w:r w:rsidRPr="000B7BB2">
        <w:rPr>
          <w:rFonts w:cstheme="minorHAnsi"/>
        </w:rPr>
        <w:t xml:space="preserve">Zgodnie z dyspozycją art. 286 pkt 7 ustawy </w:t>
      </w:r>
      <w:proofErr w:type="spellStart"/>
      <w:r w:rsidRPr="000B7BB2">
        <w:rPr>
          <w:rFonts w:cstheme="minorHAnsi"/>
        </w:rPr>
        <w:t>Pzp</w:t>
      </w:r>
      <w:proofErr w:type="spellEnd"/>
      <w:r w:rsidRPr="000B7BB2">
        <w:rPr>
          <w:rFonts w:cstheme="minorHAnsi"/>
        </w:rPr>
        <w:t xml:space="preserve"> niniejsza zmiana SWZ zostaje udostępniona na stronie</w:t>
      </w:r>
    </w:p>
    <w:p w:rsidR="00582707" w:rsidRDefault="000B7BB2" w:rsidP="000B7BB2">
      <w:pPr>
        <w:tabs>
          <w:tab w:val="left" w:pos="1843"/>
        </w:tabs>
        <w:spacing w:after="0"/>
        <w:ind w:left="567" w:right="20" w:hanging="425"/>
        <w:jc w:val="both"/>
        <w:rPr>
          <w:rFonts w:cstheme="minorHAnsi"/>
        </w:rPr>
      </w:pPr>
      <w:r w:rsidRPr="000B7BB2">
        <w:rPr>
          <w:rFonts w:cstheme="minorHAnsi"/>
        </w:rPr>
        <w:t>internetowej prowadzonego postępowania</w:t>
      </w:r>
    </w:p>
    <w:p w:rsidR="00582707" w:rsidRDefault="00582707" w:rsidP="00582707">
      <w:pPr>
        <w:tabs>
          <w:tab w:val="left" w:pos="1843"/>
        </w:tabs>
        <w:ind w:left="567" w:right="20" w:hanging="141"/>
        <w:jc w:val="both"/>
        <w:rPr>
          <w:rFonts w:cstheme="minorHAnsi"/>
        </w:rPr>
      </w:pPr>
    </w:p>
    <w:p w:rsidR="00582707" w:rsidRPr="009D799D" w:rsidRDefault="00582707" w:rsidP="004B4139">
      <w:pPr>
        <w:tabs>
          <w:tab w:val="left" w:pos="1843"/>
        </w:tabs>
        <w:ind w:left="567" w:right="20" w:hanging="141"/>
        <w:jc w:val="right"/>
        <w:rPr>
          <w:rFonts w:cstheme="minorHAnsi"/>
          <w:color w:val="FF0000"/>
        </w:rPr>
      </w:pPr>
    </w:p>
    <w:p w:rsidR="009D799D" w:rsidRPr="009D799D" w:rsidRDefault="004B4139" w:rsidP="004B4139">
      <w:pPr>
        <w:tabs>
          <w:tab w:val="left" w:pos="1843"/>
        </w:tabs>
        <w:ind w:left="567" w:right="20" w:hanging="141"/>
        <w:jc w:val="right"/>
        <w:rPr>
          <w:b/>
          <w:color w:val="FF0000"/>
        </w:rPr>
      </w:pPr>
      <w:r w:rsidRPr="009D799D">
        <w:rPr>
          <w:b/>
          <w:color w:val="FF0000"/>
        </w:rPr>
        <w:t>Wójt Gminy Brochów</w:t>
      </w:r>
    </w:p>
    <w:p w:rsidR="00582707" w:rsidRPr="009D799D" w:rsidRDefault="004B4139" w:rsidP="009D799D">
      <w:pPr>
        <w:tabs>
          <w:tab w:val="left" w:pos="1843"/>
        </w:tabs>
        <w:ind w:left="567" w:right="20" w:hanging="141"/>
        <w:jc w:val="right"/>
        <w:rPr>
          <w:rFonts w:cstheme="minorHAnsi"/>
          <w:b/>
          <w:color w:val="FF0000"/>
        </w:rPr>
      </w:pPr>
      <w:r w:rsidRPr="009D799D">
        <w:rPr>
          <w:b/>
          <w:color w:val="FF0000"/>
        </w:rPr>
        <w:t xml:space="preserve"> Piotr Szymański</w:t>
      </w:r>
    </w:p>
    <w:sectPr w:rsidR="00582707" w:rsidRPr="009D79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1C" w:rsidRDefault="00F35E1C" w:rsidP="0056562B">
      <w:pPr>
        <w:spacing w:after="0" w:line="240" w:lineRule="auto"/>
      </w:pPr>
      <w:r>
        <w:separator/>
      </w:r>
    </w:p>
  </w:endnote>
  <w:endnote w:type="continuationSeparator" w:id="0">
    <w:p w:rsidR="00F35E1C" w:rsidRDefault="00F35E1C" w:rsidP="0056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1C" w:rsidRDefault="00F35E1C" w:rsidP="0056562B">
      <w:pPr>
        <w:spacing w:after="0" w:line="240" w:lineRule="auto"/>
      </w:pPr>
      <w:r>
        <w:separator/>
      </w:r>
    </w:p>
  </w:footnote>
  <w:footnote w:type="continuationSeparator" w:id="0">
    <w:p w:rsidR="00F35E1C" w:rsidRDefault="00F35E1C" w:rsidP="0056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2B" w:rsidRDefault="0056562B">
    <w:pPr>
      <w:pStyle w:val="Nagwek"/>
    </w:pPr>
    <w:r>
      <w:t>ZP.271.5.2023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ED"/>
    <w:rsid w:val="000B7BB2"/>
    <w:rsid w:val="00156F35"/>
    <w:rsid w:val="003A33FC"/>
    <w:rsid w:val="00414731"/>
    <w:rsid w:val="004B4139"/>
    <w:rsid w:val="004B5B6F"/>
    <w:rsid w:val="0056562B"/>
    <w:rsid w:val="00582707"/>
    <w:rsid w:val="00600487"/>
    <w:rsid w:val="00752A84"/>
    <w:rsid w:val="00770B14"/>
    <w:rsid w:val="008577B1"/>
    <w:rsid w:val="00934E5C"/>
    <w:rsid w:val="009D799D"/>
    <w:rsid w:val="00B61C33"/>
    <w:rsid w:val="00C141ED"/>
    <w:rsid w:val="00D36039"/>
    <w:rsid w:val="00E70625"/>
    <w:rsid w:val="00F134BA"/>
    <w:rsid w:val="00F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AB0B-73A1-418C-AD97-CC424834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62B"/>
  </w:style>
  <w:style w:type="paragraph" w:styleId="Stopka">
    <w:name w:val="footer"/>
    <w:basedOn w:val="Normalny"/>
    <w:link w:val="StopkaZnak"/>
    <w:uiPriority w:val="99"/>
    <w:unhideWhenUsed/>
    <w:rsid w:val="0056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62B"/>
  </w:style>
  <w:style w:type="paragraph" w:styleId="NormalnyWeb">
    <w:name w:val="Normal (Web)"/>
    <w:basedOn w:val="Normalny"/>
    <w:rsid w:val="004B5B6F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582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5827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2023-08-17T07:18:00Z</dcterms:created>
  <dcterms:modified xsi:type="dcterms:W3CDTF">2023-08-17T08:40:00Z</dcterms:modified>
</cp:coreProperties>
</file>